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r w:rsidRPr="00593A0A">
        <w:rPr>
          <w:rFonts w:ascii="cmr17" w:hAnsi="cmr17"/>
          <w:lang w:val="en-US"/>
        </w:rPr>
        <w:t>Yoav Ram</w:t>
      </w:r>
      <w:r w:rsidR="00C81983">
        <w:rPr>
          <w:rFonts w:ascii="cmr17" w:hAnsi="cmr17"/>
          <w:lang w:val="en-US"/>
        </w:rPr>
        <w:t xml:space="preserve"> </w:t>
      </w:r>
    </w:p>
    <w:p w:rsidR="003277CF" w:rsidRDefault="00593A0A" w:rsidP="003277CF">
      <w:pPr>
        <w:pStyle w:val="Subtitle"/>
        <w:rPr>
          <w:rFonts w:ascii="cmr17" w:hAnsi="cmr17"/>
          <w:lang w:val="en-US"/>
        </w:rPr>
      </w:pPr>
      <w:r w:rsidRPr="00593A0A">
        <w:rPr>
          <w:rFonts w:ascii="cmr17" w:hAnsi="cmr17"/>
          <w:lang w:val="en-US"/>
        </w:rPr>
        <w:t xml:space="preserve">and </w:t>
      </w:r>
    </w:p>
    <w:p w:rsidR="00C81983" w:rsidRDefault="00593A0A" w:rsidP="003277CF">
      <w:pPr>
        <w:pStyle w:val="Subtitle"/>
        <w:rPr>
          <w:rFonts w:ascii="cmr17" w:hAnsi="cmr17"/>
          <w:lang w:val="en-US"/>
        </w:rPr>
      </w:pPr>
      <w:r w:rsidRPr="00593A0A">
        <w:rPr>
          <w:rFonts w:ascii="cmr17" w:hAnsi="cmr17"/>
          <w:lang w:val="en-US"/>
        </w:rPr>
        <w:t>Lilach Hadany</w:t>
      </w:r>
    </w:p>
    <w:p w:rsidR="003277CF" w:rsidRDefault="004A4DFB" w:rsidP="004A4DFB">
      <w:pPr>
        <w:pStyle w:val="Subtitle"/>
        <w:rPr>
          <w:rFonts w:ascii="cmr17" w:hAnsi="cmr17"/>
          <w:lang w:val="en-US"/>
        </w:rPr>
      </w:pPr>
      <w:r>
        <w:rPr>
          <w:rFonts w:ascii="cmr17" w:hAnsi="cmr17"/>
          <w:lang w:val="en-US"/>
        </w:rPr>
        <w:t>corresponding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3D1D05">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r>
        <w:rPr>
          <w:lang w:val="en-US"/>
        </w:rPr>
        <w:t xml:space="preserve">population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bookmarkStart w:id="0" w:name="_GoBack"/>
      <w:bookmarkEnd w:id="0"/>
      <w:r>
        <w:rPr>
          <w:lang w:val="en-US"/>
        </w:rPr>
        <w:lastRenderedPageBreak/>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343F1B">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343F1B">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343F1B">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343F1B">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343F1B">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1"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r w:rsidR="000651B8">
        <w:rPr>
          <w:i/>
          <w:iCs/>
          <w:lang w:val="en-US"/>
        </w:rPr>
        <w:t>ab</w:t>
      </w:r>
      <w:r w:rsidR="000651B8">
        <w:rPr>
          <w:lang w:val="en-US"/>
        </w:rPr>
        <w:t xml:space="preserve"> is the </w:t>
      </w:r>
      <w:r w:rsidR="00175BA1">
        <w:rPr>
          <w:lang w:val="en-US"/>
        </w:rPr>
        <w:t xml:space="preserve">wildtype </w:t>
      </w:r>
      <w:r w:rsidR="000651B8">
        <w:rPr>
          <w:lang w:val="en-US"/>
        </w:rPr>
        <w:t xml:space="preserve">with a fitness value of </w:t>
      </w:r>
      <w:r w:rsidR="000651B8" w:rsidRPr="00175BA1">
        <w:rPr>
          <w:i/>
          <w:iCs/>
          <w:lang w:val="en-US"/>
        </w:rPr>
        <w:t>1</w:t>
      </w:r>
      <w:r w:rsidR="000651B8">
        <w:rPr>
          <w:lang w:val="en-US"/>
        </w:rPr>
        <w:t>, single mutants (</w:t>
      </w:r>
      <w:r w:rsidR="000651B8">
        <w:rPr>
          <w:i/>
          <w:iCs/>
          <w:lang w:val="en-US"/>
        </w:rPr>
        <w:t>Ab</w:t>
      </w:r>
      <w:r w:rsidR="000651B8">
        <w:rPr>
          <w:lang w:val="en-US"/>
        </w:rPr>
        <w:t xml:space="preserve"> and </w:t>
      </w:r>
      <w:r w:rsidR="000651B8">
        <w:rPr>
          <w:i/>
          <w:iCs/>
          <w:lang w:val="en-US"/>
        </w:rPr>
        <w:t>aB</w:t>
      </w:r>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r w:rsidR="000651B8">
        <w:rPr>
          <w:i/>
          <w:iCs/>
          <w:vertAlign w:val="superscript"/>
          <w:lang w:val="en-US"/>
        </w:rPr>
        <w:t>2</w:t>
      </w:r>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r w:rsidR="000651B8">
        <w:rPr>
          <w:i/>
          <w:iCs/>
          <w:vertAlign w:val="superscript"/>
          <w:lang w:val="en-US"/>
        </w:rPr>
        <w:t>m</w:t>
      </w:r>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r>
        <w:rPr>
          <w:i/>
          <w:iCs/>
          <w:lang w:val="en-US"/>
        </w:rPr>
        <w:t>a</w:t>
      </w:r>
      <w:r>
        <w:rPr>
          <w:lang w:val="en-US"/>
        </w:rPr>
        <w:t xml:space="preserve"> to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lastRenderedPageBreak/>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r w:rsidR="000E4EA4">
        <w:rPr>
          <w:lang w:val="en-US"/>
        </w:rPr>
        <w:t>mutegenesis</w:t>
      </w:r>
      <w:r w:rsidR="00200EDA">
        <w:rPr>
          <w:lang w:val="en-US"/>
        </w:rPr>
        <w:t xml:space="preserve"> </w:t>
      </w:r>
      <w:r>
        <w:rPr>
          <w:lang w:val="en-US"/>
        </w:rPr>
        <w:t xml:space="preserve">and a fitness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r w:rsidR="006D6095" w:rsidRPr="006D6095">
        <w:rPr>
          <w:i/>
          <w:iCs/>
          <w:vertAlign w:val="superscript"/>
        </w:rPr>
        <w:t>2</w:t>
      </w:r>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26B47BAE" wp14:editId="74F999B9">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3"/>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represent a specific genotype. Node labels specify the </w:t>
      </w:r>
      <w:r>
        <w:rPr>
          <w:b w:val="0"/>
          <w:bCs w:val="0"/>
        </w:rPr>
        <w:t xml:space="preserve">alleles at the </w:t>
      </w:r>
      <w:r>
        <w:rPr>
          <w:b w:val="0"/>
          <w:bCs w:val="0"/>
          <w:i/>
          <w:iCs/>
        </w:rPr>
        <w:t>A/</w:t>
      </w:r>
      <w:r w:rsidRPr="00317C1F">
        <w:rPr>
          <w:b w:val="0"/>
          <w:bCs w:val="0"/>
        </w:rPr>
        <w:t>a</w:t>
      </w:r>
      <w:r>
        <w:rPr>
          <w:b w:val="0"/>
          <w:bCs w:val="0"/>
        </w:rPr>
        <w:t xml:space="preserve"> and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see the colo</w:t>
      </w:r>
      <w:r w:rsidR="00137A92">
        <w:rPr>
          <w:b w:val="0"/>
          <w:bCs w:val="0"/>
        </w:rPr>
        <w:t>u</w:t>
      </w:r>
      <w:r w:rsidR="00B619E9">
        <w:rPr>
          <w:b w:val="0"/>
          <w:bCs w:val="0"/>
        </w:rPr>
        <w:t>rbar.</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r w:rsidR="00A80402">
        <w:t>(</w:t>
      </w:r>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421489">
      <w:pPr>
        <w:ind w:firstLine="0"/>
        <w:rPr>
          <w:lang w:val="en-US"/>
        </w:rPr>
      </w:pPr>
      <w:r>
        <w:rPr>
          <w:lang w:val="en-US"/>
        </w:rPr>
        <w:t>At the MSB, the frequency of wildtype (</w:t>
      </w:r>
      <w:r>
        <w:rPr>
          <w:i/>
          <w:iCs/>
          <w:lang w:val="en-US"/>
        </w:rPr>
        <w:t>ab</w:t>
      </w:r>
      <w:r>
        <w:rPr>
          <w:lang w:val="en-US"/>
        </w:rPr>
        <w:t xml:space="preserve">) individuals is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r>
        <w:rPr>
          <w:i/>
          <w:iCs/>
          <w:lang w:val="en-US"/>
        </w:rPr>
        <w:t>Ab</w:t>
      </w:r>
      <w:r>
        <w:rPr>
          <w:lang w:val="en-US"/>
        </w:rPr>
        <w:t xml:space="preserve"> and </w:t>
      </w:r>
      <w:r>
        <w:rPr>
          <w:i/>
          <w:iCs/>
          <w:lang w:val="en-US"/>
        </w:rPr>
        <w:t>aB</w:t>
      </w:r>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m:t>
        </m:r>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r w:rsidRPr="00FD5294">
        <w:rPr>
          <w:i/>
          <w:iCs/>
          <w:lang w:val="en-US"/>
        </w:rPr>
        <w:t>N</w:t>
      </w:r>
      <w:r>
        <w:rPr>
          <w:lang w:val="en-US"/>
        </w:rPr>
        <w:t>(</w:t>
      </w:r>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mutatns must be generated by </w:t>
      </w:r>
      <w:r w:rsidR="00137A92">
        <w:rPr>
          <w:lang w:val="en-US"/>
        </w:rPr>
        <w:t>a double mutation</w:t>
      </w:r>
      <w:r w:rsidR="003C4D79">
        <w:rPr>
          <w:lang w:val="en-US"/>
        </w:rPr>
        <w:t xml:space="preserve"> in a wild</w:t>
      </w:r>
      <w:r w:rsidR="00AC64E4">
        <w:rPr>
          <w:lang w:val="en-US"/>
        </w:rPr>
        <w:t xml:space="preserve">type </w:t>
      </w:r>
      <w:r w:rsidR="00AC64E4">
        <w:rPr>
          <w:lang w:val="en-US"/>
        </w:rPr>
        <w:lastRenderedPageBreak/>
        <w:t>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D1D05">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D1D05">
              <w:rPr>
                <w:noProof/>
                <w:lang w:val="en-US"/>
              </w:rPr>
              <w:t>2</w:t>
            </w:r>
            <w:r w:rsidR="00F95F72">
              <w:rPr>
                <w:lang w:val="en-US"/>
              </w:rPr>
              <w:fldChar w:fldCharType="end"/>
            </w:r>
            <w:r>
              <w:rPr>
                <w:lang w:val="en-US"/>
              </w:rPr>
              <w:t>)</w:t>
            </w:r>
            <w:bookmarkEnd w:id="5"/>
          </w:p>
        </w:tc>
      </w:tr>
    </w:tbl>
    <w:p w:rsidR="000E4EA4" w:rsidRDefault="000E4EA4" w:rsidP="000E4EA4">
      <w:pPr>
        <w:ind w:firstLine="0"/>
        <w:rPr>
          <w:lang w:val="en-US"/>
        </w:rPr>
      </w:pPr>
      <w:r>
        <w:rPr>
          <w:lang w:val="en-US"/>
        </w:rPr>
        <w:t>Table 1 has estimation on the parameter values in</w:t>
      </w:r>
      <w:r w:rsidR="00324A58">
        <w:rPr>
          <w:lang w:val="en-US"/>
        </w:rPr>
        <w:t xml:space="preserve"> </w:t>
      </w:r>
      <w:r w:rsidR="001A482B" w:rsidRPr="001A482B">
        <w:rPr>
          <w:i/>
          <w:iCs/>
          <w:lang w:val="en-US"/>
        </w:rPr>
        <w:t>Escherischia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bookmarkStart w:id="6" w:name="_Ref358731264"/>
      <w:r>
        <w:t xml:space="preserve">Table </w:t>
      </w:r>
      <w:r>
        <w:fldChar w:fldCharType="begin"/>
      </w:r>
      <w:r>
        <w:instrText xml:space="preserve"> SEQ Table \* ARABIC </w:instrText>
      </w:r>
      <w:r>
        <w:fldChar w:fldCharType="separate"/>
      </w:r>
      <w:r w:rsidR="003D1D05">
        <w:rPr>
          <w:noProof/>
        </w:rPr>
        <w:t>1</w:t>
      </w:r>
      <w:r>
        <w:fldChar w:fldCharType="end"/>
      </w:r>
      <w:bookmarkEnd w:id="6"/>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7" w:name="_Ref354490800"/>
      <w:r>
        <w:rPr>
          <w:lang w:val="en-US"/>
        </w:rPr>
        <w:t xml:space="preserve">Stochastic </w:t>
      </w:r>
      <w:bookmarkEnd w:id="7"/>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 xml:space="preserve">(i) </w:t>
      </w:r>
      <w:r w:rsidR="00374508">
        <w:rPr>
          <w:lang w:val="en-US"/>
        </w:rPr>
        <w:t xml:space="preserve">The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lastRenderedPageBreak/>
        <w:t xml:space="preserve">Simulations start with an </w:t>
      </w:r>
      <w:r w:rsidR="00247649" w:rsidRPr="00247649">
        <w:rPr>
          <w:i/>
          <w:iCs/>
          <w:lang w:val="en-US"/>
        </w:rPr>
        <w:t>ab</w:t>
      </w:r>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 xml:space="preserve">(i)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E025C0" w:rsidP="005D3103">
      <w:pPr>
        <w:pStyle w:val="Firstparagraph"/>
        <w:rPr>
          <w:lang w:val="en-US"/>
        </w:rPr>
      </w:pPr>
      <w:r>
        <w:rPr>
          <w:lang w:val="en-US"/>
        </w:rPr>
        <w:t>F</w:t>
      </w:r>
      <w:r w:rsidR="008B49E2">
        <w:rPr>
          <w:lang w:val="en-US"/>
        </w:rPr>
        <w:t xml:space="preserve">irst-order approximations are marked by a star (*). </w:t>
      </w:r>
      <w:r w:rsidR="00835925">
        <w:rPr>
          <w:lang w:val="en-US"/>
        </w:rPr>
        <w:t xml:space="preserve">The </w:t>
      </w:r>
      <w:r w:rsidR="005D3103">
        <w:rPr>
          <w:lang w:val="en-US"/>
        </w:rPr>
        <w:t>complete</w:t>
      </w:r>
      <w:r w:rsidR="00835925">
        <w:rPr>
          <w:lang w:val="en-US"/>
        </w:rPr>
        <w:t xml:space="preserve"> derivation</w:t>
      </w:r>
      <w:r w:rsidR="005D3103">
        <w:rPr>
          <w:lang w:val="en-US"/>
        </w:rPr>
        <w:t>s</w:t>
      </w:r>
      <w:r w:rsidR="00835925">
        <w:rPr>
          <w:lang w:val="en-US"/>
        </w:rPr>
        <w:t xml:space="preserve"> of </w:t>
      </w:r>
      <w:r w:rsidR="00D65806">
        <w:rPr>
          <w:lang w:val="en-US"/>
        </w:rPr>
        <w:t xml:space="preserve">all </w:t>
      </w:r>
      <w:r w:rsidR="005D3103">
        <w:rPr>
          <w:lang w:val="en-US"/>
        </w:rPr>
        <w:t xml:space="preserve">the </w:t>
      </w:r>
      <w:r w:rsidR="00835925">
        <w:rPr>
          <w:lang w:val="en-US"/>
        </w:rPr>
        <w:t>expressions are given</w:t>
      </w:r>
      <w:r w:rsidR="00D65806">
        <w:rPr>
          <w:lang w:val="en-US"/>
        </w:rPr>
        <w:t xml:space="preserve"> </w:t>
      </w:r>
      <w:r w:rsidR="00835925">
        <w:rPr>
          <w:lang w:val="en-US"/>
        </w:rPr>
        <w:t xml:space="preserve">in the </w:t>
      </w:r>
      <w:r w:rsidR="00835925" w:rsidRPr="00835925">
        <w:rPr>
          <w:i/>
          <w:iCs/>
          <w:lang w:val="en-US"/>
        </w:rPr>
        <w:t>Electronic Supporting Material</w:t>
      </w:r>
      <w:r w:rsidR="00835925">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8"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as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Eshel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lastRenderedPageBreak/>
        <w:t xml:space="preserve">Because stress-induced mutagenesis can have an effect on the population mean fitness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2603F6">
        <w:rPr>
          <w:noProof/>
          <w:lang w:val="en-US"/>
        </w:rPr>
        <w:t>[4]</w:t>
      </w:r>
      <w:r>
        <w:rPr>
          <w:lang w:val="en-US"/>
        </w:rPr>
        <w:fldChar w:fldCharType="end"/>
      </w:r>
      <w:r>
        <w:rPr>
          <w:lang w:val="en-US"/>
        </w:rPr>
        <w:t>, the fixation probability with stress-induced mutagenesis is:</w:t>
      </w:r>
    </w:p>
    <w:p w:rsidR="006F147D" w:rsidRDefault="006F147D"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righthand side of the last two equations, and because </w:t>
      </w:r>
      <m:oMath>
        <m:r>
          <w:rPr>
            <w:rFonts w:ascii="Cambria Math" w:hAnsi="Cambria Math"/>
            <w:lang w:val="en-US"/>
          </w:rPr>
          <m:t>s&lt;1</m:t>
        </m:r>
      </m:oMath>
      <w:r>
        <w:rPr>
          <w:lang w:val="en-US"/>
        </w:rPr>
        <w:t xml:space="preserve"> and </w:t>
      </w:r>
      <m:oMath>
        <m:r>
          <w:rPr>
            <w:rFonts w:ascii="Cambria Math" w:hAnsi="Cambria Math"/>
            <w:lang w:val="en-US"/>
          </w:rPr>
          <m:t>τ&gt;1</m:t>
        </m:r>
      </m:oMath>
      <w:r>
        <w:rPr>
          <w:lang w:val="en-US"/>
        </w:rPr>
        <w:t>,</w:t>
      </w:r>
      <w:r>
        <w:rPr>
          <w:lang w:val="en-US"/>
        </w:rPr>
        <w:t xml:space="preserve"> </w:t>
      </w:r>
      <w:r>
        <w:rPr>
          <w:lang w:val="en-US"/>
        </w:rPr>
        <w:t xml:space="preserve">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m:t>
        </m:r>
        <m:r>
          <w:rPr>
            <w:rFonts w:ascii="Cambria Math" w:hAnsi="Cambria Math"/>
            <w:lang w:val="en-US"/>
          </w:rPr>
          <m:t>&gt;</m:t>
        </m:r>
        <m:r>
          <w:rPr>
            <w:rFonts w:ascii="Cambria Math" w:hAnsi="Cambria Math"/>
            <w:lang w:val="en-US"/>
          </w:rPr>
          <m:t>ρ</m:t>
        </m:r>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adapted individuals. </w:t>
      </w:r>
      <w:r>
        <w:rPr>
          <w:lang w:val="en-US"/>
        </w:rPr>
        <w:t xml:space="preserve">However, </w:t>
      </w:r>
      <w:r>
        <w:rPr>
          <w:lang w:val="en-US"/>
        </w:rPr>
        <w:t xml:space="preserve">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is </w:t>
      </w:r>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m:t>
        </m:r>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1/Nq</w:t>
      </w:r>
      <w:r>
        <w:rPr>
          <w:rFonts w:ascii="Times New Roman" w:hAnsi="Times New Roman"/>
          <w:i/>
          <w:iCs/>
          <w:lang w:val="en-US"/>
        </w:rPr>
        <w:t>ρ</w:t>
      </w:r>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m:t>
          </m:r>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631A5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w:t>
      </w:r>
      <w:r>
        <w:rPr>
          <w:lang w:val="en-US"/>
        </w:rPr>
        <w:t xml:space="preserve"> approximate sufficient condition for stress-induced mutagenesis to</w:t>
      </w:r>
      <w:r>
        <w:rPr>
          <w:lang w:val="en-US"/>
        </w:rPr>
        <w:t xml:space="preserve"> decrease the adaptation time</w:t>
      </w:r>
      <w:r>
        <w:rPr>
          <w:lang w:val="en-US"/>
        </w:rPr>
        <w:t>:</w:t>
      </w:r>
    </w:p>
    <w:p w:rsidR="00631A51" w:rsidRDefault="00631A51" w:rsidP="00631A51">
      <w:pPr>
        <w:pStyle w:val="Firstparagraph"/>
        <w:rPr>
          <w:lang w:val="en-US"/>
        </w:rPr>
      </w:pPr>
      <m:oMathPara>
        <m:oMath>
          <m:r>
            <w:rPr>
              <w:rFonts w:ascii="Cambria Math" w:hAnsi="Cambria Math"/>
              <w:lang w:val="en-US"/>
            </w:rPr>
            <m:t>U</m:t>
          </m:r>
          <m:r>
            <w:rPr>
              <w:rFonts w:ascii="Cambria Math" w:hAnsi="Cambria Math"/>
              <w:lang w:val="en-US"/>
            </w:rPr>
            <m:t>&lt;τ</m:t>
          </m:r>
          <m:r>
            <w:rPr>
              <w:rFonts w:ascii="Cambria Math" w:hAnsi="Cambria Math"/>
              <w:lang w:val="en-US"/>
            </w:rPr>
            <m:t>U</m:t>
          </m:r>
          <m:r>
            <w:rPr>
              <w:rFonts w:ascii="Cambria Math" w:hAnsi="Cambria Math"/>
              <w:lang w:val="en-US"/>
            </w:rPr>
            <m:t>&lt;</m:t>
          </m:r>
          <m:r>
            <w:rPr>
              <w:rFonts w:ascii="Cambria Math" w:hAnsi="Cambria Math"/>
              <w:lang w:val="en-US"/>
            </w:rPr>
            <m:t>1</m:t>
          </m:r>
        </m:oMath>
      </m:oMathPara>
    </w:p>
    <w:p w:rsidR="00631A51" w:rsidRDefault="00631A51" w:rsidP="00631A51">
      <w:pPr>
        <w:pStyle w:val="Firstparagraph"/>
        <w:rPr>
          <w:lang w:val="en-US"/>
        </w:rPr>
      </w:pPr>
      <w:r>
        <w:rPr>
          <w:lang w:val="en-US"/>
        </w:rPr>
        <w:t>That is, the mutation rate of maladapted individuals must be larger than that of well-adapted individuals but lower than one mutation per genome per generation. Two e</w:t>
      </w:r>
      <w:r>
        <w:rPr>
          <w:lang w:val="en-US"/>
        </w:rPr>
        <w:t xml:space="preserve">stimates of the genomic deleterious mutation rate </w:t>
      </w:r>
      <w:r>
        <w:rPr>
          <w:i/>
          <w:iCs/>
          <w:lang w:val="en-US"/>
        </w:rPr>
        <w:t>U</w:t>
      </w:r>
      <w:r>
        <w:rPr>
          <w:lang w:val="en-US"/>
        </w:rPr>
        <w:t xml:space="preserve"> </w:t>
      </w:r>
      <w:r>
        <w:rPr>
          <w:lang w:val="en-US"/>
        </w:rPr>
        <w:t xml:space="preserve">in </w:t>
      </w:r>
      <w:r>
        <w:rPr>
          <w:i/>
          <w:iCs/>
          <w:lang w:val="en-US"/>
        </w:rPr>
        <w:t xml:space="preserve">E. coli </w:t>
      </w:r>
      <w:r>
        <w:rPr>
          <w:lang w:val="en-US"/>
        </w:rPr>
        <w:t xml:space="preserve">are 0.003 and 0.0004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w:t>
      </w:r>
      <w:r>
        <w:rPr>
          <w:lang w:val="en-US"/>
        </w:rPr>
        <w:t>This is much higher than the</w:t>
      </w:r>
      <w:r>
        <w:rPr>
          <w:lang w:val="en-US"/>
        </w:rPr>
        <w:t xml:space="preserve"> values of </w:t>
      </w:r>
      <w:r w:rsidRPr="008C5BF9">
        <w:rPr>
          <w:rFonts w:ascii="Times New Roman" w:hAnsi="Times New Roman"/>
          <w:i/>
          <w:iCs/>
          <w:lang w:val="en-US"/>
        </w:rPr>
        <w:t>τ</w:t>
      </w:r>
      <w:r>
        <w:rPr>
          <w:lang w:val="en-US"/>
        </w:rPr>
        <w:t xml:space="preserve"> in </w:t>
      </w:r>
      <w:r>
        <w:rPr>
          <w:lang w:val="en-US"/>
        </w:rPr>
        <w:t>the literature</w:t>
      </w:r>
      <w:r>
        <w:rPr>
          <w:rFonts w:ascii="Times New Roman" w:hAnsi="Times New Roman"/>
          <w:i/>
          <w:iCs/>
          <w:lang w:val="en-US"/>
        </w:rPr>
        <w:t xml:space="preserve"> -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Pr>
          <w:lang w:val="en-US"/>
        </w:rPr>
        <w:t xml:space="preserve">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os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061B6B95" wp14:editId="64FAEC86">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to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decreae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8"/>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343F1B">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2603F6" w:rsidRPr="002603F6">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experimentaly verify our results. This can be done, for example, in a bacterial system such as </w:t>
      </w:r>
      <w:r>
        <w:rPr>
          <w:i/>
          <w:iCs/>
          <w:lang w:val="en-US"/>
        </w:rPr>
        <w:t>E. coli</w:t>
      </w:r>
      <w:r>
        <w:rPr>
          <w:lang w:val="en-US"/>
        </w:rPr>
        <w:t xml:space="preserve">, in which one can interfere with the regulation of hypermutation by stress [REF- Cirz?]. </w:t>
      </w:r>
      <w:r w:rsidR="005B24C2">
        <w:rPr>
          <w:lang w:val="en-US"/>
        </w:rPr>
        <w:t>I</w:t>
      </w:r>
      <w:r>
        <w:rPr>
          <w:lang w:val="en-US"/>
        </w:rPr>
        <w:t xml:space="preserve">f, for example, frameshift mutations are introduced to the lacI and lacZ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r w:rsidR="00AE4CC8">
        <w:rPr>
          <w:lang w:val="en-US"/>
        </w:rPr>
        <w:t>a</w:t>
      </w:r>
      <w:r>
        <w:rPr>
          <w:lang w:val="en-US"/>
        </w:rPr>
        <w:t>ccessability</w:t>
      </w:r>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r w:rsidR="003D4177">
        <w:t xml:space="preserve">GitHub at </w:t>
      </w:r>
      <w:hyperlink r:id="rId12" w:history="1">
        <w:r w:rsidRPr="00EF674F">
          <w:rPr>
            <w:rStyle w:val="Hyperlink"/>
          </w:rPr>
          <w:t>https://github.com/yoavram/ruggedsim.git</w:t>
        </w:r>
      </w:hyperlink>
      <w:r w:rsidR="003D4177">
        <w:t>.</w:t>
      </w:r>
      <w:r w:rsidR="003D35E9">
        <w:t xml:space="preserve"> </w:t>
      </w:r>
      <w:r w:rsidR="003D35E9">
        <w:rPr>
          <w:lang w:val="en-US"/>
        </w:rPr>
        <w:t xml:space="preserve">The codeis written in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using NumPy (</w:t>
      </w:r>
      <w:hyperlink r:id="rId14" w:history="1">
        <w:r w:rsidR="003D35E9" w:rsidRPr="00A41C79">
          <w:rPr>
            <w:rStyle w:val="Hyperlink"/>
            <w:lang w:val="en-US"/>
          </w:rPr>
          <w:t>http://www.numpy.org</w:t>
        </w:r>
      </w:hyperlink>
      <w:r w:rsidR="003D35E9">
        <w:rPr>
          <w:lang w:val="en-US"/>
        </w:rPr>
        <w:t>) and SciPy (</w:t>
      </w:r>
      <w:hyperlink r:id="rId15" w:history="1">
        <w:r w:rsidR="003D35E9" w:rsidRPr="00A41C79">
          <w:rPr>
            <w:rStyle w:val="Hyperlink"/>
            <w:lang w:val="en-US"/>
          </w:rPr>
          <w:t>http://www.scipy.org</w:t>
        </w:r>
      </w:hyperlink>
      <w:r w:rsidR="003D35E9">
        <w:rPr>
          <w:lang w:val="en-US"/>
        </w:rPr>
        <w:t>).</w:t>
      </w:r>
    </w:p>
    <w:p w:rsidR="003277CF" w:rsidRDefault="003277CF" w:rsidP="003277CF">
      <w:pPr>
        <w:pStyle w:val="Heading1"/>
        <w:rPr>
          <w:lang w:val="en-US"/>
        </w:rPr>
      </w:pPr>
      <w:r>
        <w:rPr>
          <w:lang w:val="en-US"/>
        </w:rPr>
        <w:t>References</w:t>
      </w:r>
    </w:p>
    <w:p w:rsidR="00343F1B" w:rsidRPr="00343F1B" w:rsidRDefault="00127E33">
      <w:pPr>
        <w:pStyle w:val="NormalWeb"/>
        <w:ind w:left="640" w:hanging="640"/>
        <w:divId w:val="1647395914"/>
        <w:rPr>
          <w:rFonts w:ascii="cmr10" w:hAnsi="cmr10"/>
          <w:noProof/>
          <w:sz w:val="20"/>
        </w:rPr>
      </w:pPr>
      <w:r>
        <w:fldChar w:fldCharType="begin" w:fldLock="1"/>
      </w:r>
      <w:r>
        <w:instrText xml:space="preserve">ADDIN Mendeley Bibliography CSL_BIBLIOGRAPHY </w:instrText>
      </w:r>
      <w:r>
        <w:fldChar w:fldCharType="separate"/>
      </w:r>
      <w:r w:rsidR="00343F1B" w:rsidRPr="00343F1B">
        <w:rPr>
          <w:rFonts w:ascii="cmr10" w:hAnsi="cmr10"/>
          <w:noProof/>
          <w:sz w:val="20"/>
        </w:rPr>
        <w:t xml:space="preserve">1 </w:t>
      </w:r>
      <w:r w:rsidR="00343F1B" w:rsidRPr="00343F1B">
        <w:rPr>
          <w:rFonts w:ascii="cmr10" w:hAnsi="cmr10"/>
          <w:noProof/>
          <w:sz w:val="20"/>
        </w:rPr>
        <w:tab/>
        <w:t xml:space="preserve">Galhardo, R. S., Hastings, P. J. &amp; Rosenberg, S. M. 2007 Mutation as a stress response and the regulation of evolvability. </w:t>
      </w:r>
      <w:r w:rsidR="00343F1B" w:rsidRPr="00343F1B">
        <w:rPr>
          <w:rFonts w:ascii="cmr10" w:hAnsi="cmr10"/>
          <w:i/>
          <w:iCs/>
          <w:noProof/>
          <w:sz w:val="20"/>
        </w:rPr>
        <w:t>Critical reviews in biochemistry and molecular biology</w:t>
      </w:r>
      <w:r w:rsidR="00343F1B" w:rsidRPr="00343F1B">
        <w:rPr>
          <w:rFonts w:ascii="cmr10" w:hAnsi="cmr10"/>
          <w:noProof/>
          <w:sz w:val="20"/>
        </w:rPr>
        <w:t xml:space="preserve"> </w:t>
      </w:r>
      <w:r w:rsidR="00343F1B" w:rsidRPr="00343F1B">
        <w:rPr>
          <w:rFonts w:ascii="cmr10" w:hAnsi="cmr10"/>
          <w:b/>
          <w:bCs/>
          <w:noProof/>
          <w:sz w:val="20"/>
        </w:rPr>
        <w:t>42</w:t>
      </w:r>
      <w:r w:rsidR="00343F1B" w:rsidRPr="00343F1B">
        <w:rPr>
          <w:rFonts w:ascii="cmr10" w:hAnsi="cmr10"/>
          <w:noProof/>
          <w:sz w:val="20"/>
        </w:rPr>
        <w:t>, 399–435. (doi:10.1080/10409230701648502)</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 </w:t>
      </w:r>
      <w:r w:rsidRPr="00343F1B">
        <w:rPr>
          <w:rFonts w:ascii="cmr10" w:hAnsi="cmr10"/>
          <w:noProof/>
          <w:sz w:val="20"/>
        </w:rPr>
        <w:tab/>
        <w:t xml:space="preserve">Sharp, N. P. &amp; Agrawal, A. F. 2012 Evidence for elevated mutation rates in low-quality genotypes. </w:t>
      </w:r>
      <w:r w:rsidRPr="00343F1B">
        <w:rPr>
          <w:rFonts w:ascii="cmr10" w:hAnsi="cmr10"/>
          <w:i/>
          <w:iCs/>
          <w:noProof/>
          <w:sz w:val="20"/>
        </w:rPr>
        <w:t>Proceedings of the National Academy of Sciences of the United States of America</w:t>
      </w:r>
      <w:r w:rsidRPr="00343F1B">
        <w:rPr>
          <w:rFonts w:ascii="cmr10" w:hAnsi="cmr10"/>
          <w:noProof/>
          <w:sz w:val="20"/>
        </w:rPr>
        <w:t xml:space="preserve"> </w:t>
      </w:r>
      <w:r w:rsidRPr="00343F1B">
        <w:rPr>
          <w:rFonts w:ascii="cmr10" w:hAnsi="cmr10"/>
          <w:b/>
          <w:bCs/>
          <w:noProof/>
          <w:sz w:val="20"/>
        </w:rPr>
        <w:t>109</w:t>
      </w:r>
      <w:r w:rsidRPr="00343F1B">
        <w:rPr>
          <w:rFonts w:ascii="cmr10" w:hAnsi="cmr10"/>
          <w:noProof/>
          <w:sz w:val="20"/>
        </w:rPr>
        <w:t>, 6142–6. (doi:10.1073/pnas.1118918109)</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3 </w:t>
      </w:r>
      <w:r w:rsidRPr="00343F1B">
        <w:rPr>
          <w:rFonts w:ascii="cmr10" w:hAnsi="cmr10"/>
          <w:noProof/>
          <w:sz w:val="20"/>
        </w:rPr>
        <w:tab/>
        <w:t xml:space="preserve">MacLean, R. C., Torres-Barceló, C. &amp; Moxon, R. 2013 Evaluating evolutionary models of stress-induced mutagenesis in bacteria. </w:t>
      </w:r>
      <w:r w:rsidRPr="00343F1B">
        <w:rPr>
          <w:rFonts w:ascii="cmr10" w:hAnsi="cmr10"/>
          <w:i/>
          <w:iCs/>
          <w:noProof/>
          <w:sz w:val="20"/>
        </w:rPr>
        <w:t>Nature Reviews Genetics</w:t>
      </w:r>
      <w:r w:rsidRPr="00343F1B">
        <w:rPr>
          <w:rFonts w:ascii="cmr10" w:hAnsi="cmr10"/>
          <w:noProof/>
          <w:sz w:val="20"/>
        </w:rPr>
        <w:t xml:space="preserve"> </w:t>
      </w:r>
      <w:r w:rsidRPr="00343F1B">
        <w:rPr>
          <w:rFonts w:ascii="cmr10" w:hAnsi="cmr10"/>
          <w:b/>
          <w:bCs/>
          <w:noProof/>
          <w:sz w:val="20"/>
        </w:rPr>
        <w:t>14</w:t>
      </w:r>
      <w:r w:rsidRPr="00343F1B">
        <w:rPr>
          <w:rFonts w:ascii="cmr10" w:hAnsi="cmr10"/>
          <w:noProof/>
          <w:sz w:val="20"/>
        </w:rPr>
        <w:t>, 221–227. (doi:10.1038/nrg3415)</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4 </w:t>
      </w:r>
      <w:r w:rsidRPr="00343F1B">
        <w:rPr>
          <w:rFonts w:ascii="cmr10" w:hAnsi="cmr10"/>
          <w:noProof/>
          <w:sz w:val="20"/>
        </w:rPr>
        <w:tab/>
        <w:t xml:space="preserve">Ram, Y. &amp; Hadany, L. 2012 The evolution of stress-induced hypermutation in asexual populations.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66</w:t>
      </w:r>
      <w:r w:rsidRPr="00343F1B">
        <w:rPr>
          <w:rFonts w:ascii="cmr10" w:hAnsi="cmr10"/>
          <w:noProof/>
          <w:sz w:val="20"/>
        </w:rPr>
        <w:t>, 2315–28. (doi:10.1111/j.1558-5646.2012.01576.x)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5 </w:t>
      </w:r>
      <w:r w:rsidRPr="00343F1B">
        <w:rPr>
          <w:rFonts w:ascii="cmr10" w:hAnsi="cmr10"/>
          <w:noProof/>
          <w:sz w:val="20"/>
        </w:rPr>
        <w:tab/>
        <w:t xml:space="preserve">Wright, S. 1931 Evolution in Mendelian Populations.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16</w:t>
      </w:r>
      <w:r w:rsidRPr="00343F1B">
        <w:rPr>
          <w:rFonts w:ascii="cmr10" w:hAnsi="cmr10"/>
          <w:noProof/>
          <w:sz w:val="20"/>
        </w:rPr>
        <w:t xml:space="preserve">, 97–159.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6 </w:t>
      </w:r>
      <w:r w:rsidRPr="00343F1B">
        <w:rPr>
          <w:rFonts w:ascii="cmr10" w:hAnsi="cmr10"/>
          <w:noProof/>
          <w:sz w:val="20"/>
        </w:rPr>
        <w:tab/>
        <w:t xml:space="preserve">Gavrilets, S. 2004 </w:t>
      </w:r>
      <w:r w:rsidRPr="00343F1B">
        <w:rPr>
          <w:rFonts w:ascii="cmr10" w:hAnsi="cmr10"/>
          <w:i/>
          <w:iCs/>
          <w:noProof/>
          <w:sz w:val="20"/>
        </w:rPr>
        <w:t>Fitness Landscapes and the Origin of Species (MPB-41) (Monographs in Population Biology)</w:t>
      </w:r>
      <w:r w:rsidRPr="00343F1B">
        <w:rPr>
          <w:rFonts w:ascii="cmr10" w:hAnsi="cmr10"/>
          <w:noProof/>
          <w:sz w:val="20"/>
        </w:rPr>
        <w:t>. Princeton University Press.</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7 </w:t>
      </w:r>
      <w:r w:rsidRPr="00343F1B">
        <w:rPr>
          <w:rFonts w:ascii="cmr10" w:hAnsi="cmr10"/>
          <w:noProof/>
          <w:sz w:val="20"/>
        </w:rPr>
        <w:tab/>
        <w:t xml:space="preserve">Wright, S. 1988 Surfaces of selective value revisited. </w:t>
      </w:r>
      <w:r w:rsidRPr="00343F1B">
        <w:rPr>
          <w:rFonts w:ascii="cmr10" w:hAnsi="cmr10"/>
          <w:i/>
          <w:iCs/>
          <w:noProof/>
          <w:sz w:val="20"/>
        </w:rPr>
        <w:t>American Naturalist</w:t>
      </w:r>
      <w:r w:rsidRPr="00343F1B">
        <w:rPr>
          <w:rFonts w:ascii="cmr10" w:hAnsi="cmr10"/>
          <w:noProof/>
          <w:sz w:val="20"/>
        </w:rPr>
        <w:t xml:space="preserve"> </w:t>
      </w:r>
      <w:r w:rsidRPr="00343F1B">
        <w:rPr>
          <w:rFonts w:ascii="cmr10" w:hAnsi="cmr10"/>
          <w:b/>
          <w:bCs/>
          <w:noProof/>
          <w:sz w:val="20"/>
        </w:rPr>
        <w:t>131</w:t>
      </w:r>
      <w:r w:rsidRPr="00343F1B">
        <w:rPr>
          <w:rFonts w:ascii="cmr10" w:hAnsi="cmr10"/>
          <w:noProof/>
          <w:sz w:val="20"/>
        </w:rPr>
        <w:t xml:space="preserve">, 115–123.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8 </w:t>
      </w:r>
      <w:r w:rsidRPr="00343F1B">
        <w:rPr>
          <w:rFonts w:ascii="cmr10" w:hAnsi="cmr10"/>
          <w:noProof/>
          <w:sz w:val="20"/>
        </w:rPr>
        <w:tab/>
        <w:t xml:space="preserve">Crow, J. F., Engels, W. R. &amp; Denniston, C. 1990 Phase Three of Wright’s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44</w:t>
      </w:r>
      <w:r w:rsidRPr="00343F1B">
        <w:rPr>
          <w:rFonts w:ascii="cmr10" w:hAnsi="cmr10"/>
          <w:noProof/>
          <w:sz w:val="20"/>
        </w:rPr>
        <w:t xml:space="preserve">, 233–247.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9 </w:t>
      </w:r>
      <w:r w:rsidRPr="00343F1B">
        <w:rPr>
          <w:rFonts w:ascii="cmr10" w:hAnsi="cmr10"/>
          <w:noProof/>
          <w:sz w:val="20"/>
        </w:rPr>
        <w:tab/>
        <w:t xml:space="preserve">Wade, M. &amp; Goodnight, C. 1991 Wright’s shifting balance theory: an experimental study.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253</w:t>
      </w:r>
      <w:r w:rsidRPr="00343F1B">
        <w:rPr>
          <w:rFonts w:ascii="cmr10" w:hAnsi="cmr10"/>
          <w:noProof/>
          <w:sz w:val="20"/>
        </w:rPr>
        <w:t>, 1015–1018. (doi:10.1126/science.1887214)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10 </w:t>
      </w:r>
      <w:r w:rsidRPr="00343F1B">
        <w:rPr>
          <w:rFonts w:ascii="cmr10" w:hAnsi="cmr10"/>
          <w:noProof/>
          <w:sz w:val="20"/>
        </w:rPr>
        <w:tab/>
        <w:t xml:space="preserve">Peck, S. L., Ellner, S. P. &amp; Gould, F. 2000 Varying migration and deme size and the feasibility of the shifting balance. </w:t>
      </w:r>
      <w:r w:rsidRPr="00343F1B">
        <w:rPr>
          <w:rFonts w:ascii="cmr10" w:hAnsi="cmr10"/>
          <w:i/>
          <w:iCs/>
          <w:noProof/>
          <w:sz w:val="20"/>
        </w:rPr>
        <w:t>Evolution; international journal of organic 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xml:space="preserve">, 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11 </w:t>
      </w:r>
      <w:r w:rsidRPr="00343F1B">
        <w:rPr>
          <w:rFonts w:ascii="cmr10" w:hAnsi="cmr10"/>
          <w:noProof/>
          <w:sz w:val="20"/>
        </w:rPr>
        <w:tab/>
        <w:t xml:space="preserve">Moore, F. B. G. &amp; Tonsor, S. J. 1994 A Simulation of Wright Shifting-Balance Process - Migration and the Three Phases.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48</w:t>
      </w:r>
      <w:r w:rsidRPr="00343F1B">
        <w:rPr>
          <w:rFonts w:ascii="cmr10" w:hAnsi="cmr10"/>
          <w:noProof/>
          <w:sz w:val="20"/>
        </w:rPr>
        <w:t xml:space="preserve">, 69–80.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12 </w:t>
      </w:r>
      <w:r w:rsidRPr="00343F1B">
        <w:rPr>
          <w:rFonts w:ascii="cmr10" w:hAnsi="cmr10"/>
          <w:noProof/>
          <w:sz w:val="20"/>
        </w:rPr>
        <w:tab/>
        <w:t xml:space="preserve">Gavrilets, S. 1996 On phase three of the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50</w:t>
      </w:r>
      <w:r w:rsidRPr="00343F1B">
        <w:rPr>
          <w:rFonts w:ascii="cmr10" w:hAnsi="cmr10"/>
          <w:noProof/>
          <w:sz w:val="20"/>
        </w:rPr>
        <w:t>, 1034–1041. (doi:10.2307/2410644)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13 </w:t>
      </w:r>
      <w:r w:rsidRPr="00343F1B">
        <w:rPr>
          <w:rFonts w:ascii="cmr10" w:hAnsi="cmr10"/>
          <w:noProof/>
          <w:sz w:val="20"/>
        </w:rPr>
        <w:tab/>
        <w:t xml:space="preserve">Phillips, P. C. 1996 Waiting for a compensatory mutation: phase zero of the shifting-balance process. </w:t>
      </w:r>
      <w:r w:rsidRPr="00343F1B">
        <w:rPr>
          <w:rFonts w:ascii="cmr10" w:hAnsi="cmr10"/>
          <w:i/>
          <w:iCs/>
          <w:noProof/>
          <w:sz w:val="20"/>
        </w:rPr>
        <w:t>Genetical Research</w:t>
      </w:r>
      <w:r w:rsidRPr="00343F1B">
        <w:rPr>
          <w:rFonts w:ascii="cmr10" w:hAnsi="cmr10"/>
          <w:noProof/>
          <w:sz w:val="20"/>
        </w:rPr>
        <w:t xml:space="preserve"> </w:t>
      </w:r>
      <w:r w:rsidRPr="00343F1B">
        <w:rPr>
          <w:rFonts w:ascii="cmr10" w:hAnsi="cmr10"/>
          <w:b/>
          <w:bCs/>
          <w:noProof/>
          <w:sz w:val="20"/>
        </w:rPr>
        <w:t>67</w:t>
      </w:r>
      <w:r w:rsidRPr="00343F1B">
        <w:rPr>
          <w:rFonts w:ascii="cmr10" w:hAnsi="cmr10"/>
          <w:noProof/>
          <w:sz w:val="20"/>
        </w:rPr>
        <w:t xml:space="preserve">, 271–283.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14 </w:t>
      </w:r>
      <w:r w:rsidRPr="00343F1B">
        <w:rPr>
          <w:rFonts w:ascii="cmr10" w:hAnsi="cmr10"/>
          <w:noProof/>
          <w:sz w:val="20"/>
        </w:rPr>
        <w:tab/>
        <w:t xml:space="preserve">Coyne, J. A., Barton, N. H. &amp; Turelli, M. 1997 Perspective: A Critique of Sewall Wright’s Shifting Balance Theory of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51</w:t>
      </w:r>
      <w:r w:rsidRPr="00343F1B">
        <w:rPr>
          <w:rFonts w:ascii="cmr10" w:hAnsi="cmr10"/>
          <w:noProof/>
          <w:sz w:val="20"/>
        </w:rPr>
        <w:t>, 643. (doi:10.2307/2411143)</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lastRenderedPageBreak/>
        <w:t xml:space="preserve">15 </w:t>
      </w:r>
      <w:r w:rsidRPr="00343F1B">
        <w:rPr>
          <w:rFonts w:ascii="cmr10" w:hAnsi="cmr10"/>
          <w:noProof/>
          <w:sz w:val="20"/>
        </w:rPr>
        <w:tab/>
        <w:t xml:space="preserve">Coyne, J. A., Barton, N. H. &amp; Turelli, M. 2000 Is Wright’s shifting balance process important in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306–317. (doi:10.1111/j.0014-3820.2000.tb00033.x)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16 </w:t>
      </w:r>
      <w:r w:rsidRPr="00343F1B">
        <w:rPr>
          <w:rFonts w:ascii="cmr10" w:hAnsi="cmr10"/>
          <w:noProof/>
          <w:sz w:val="20"/>
        </w:rPr>
        <w:tab/>
        <w:t xml:space="preserve">Whitlock, M. C. &amp; Phillips, P. C. 2000 The exquisite corpse: a shifting view of the shifting balance. </w:t>
      </w:r>
      <w:r w:rsidRPr="00343F1B">
        <w:rPr>
          <w:rFonts w:ascii="cmr10" w:hAnsi="cmr10"/>
          <w:i/>
          <w:iCs/>
          <w:noProof/>
          <w:sz w:val="20"/>
        </w:rPr>
        <w:t>Trends in Ecology and Evolution</w:t>
      </w:r>
      <w:r w:rsidRPr="00343F1B">
        <w:rPr>
          <w:rFonts w:ascii="cmr10" w:hAnsi="cmr10"/>
          <w:noProof/>
          <w:sz w:val="20"/>
        </w:rPr>
        <w:t xml:space="preserve"> </w:t>
      </w:r>
      <w:r w:rsidRPr="00343F1B">
        <w:rPr>
          <w:rFonts w:ascii="cmr10" w:hAnsi="cmr10"/>
          <w:b/>
          <w:bCs/>
          <w:noProof/>
          <w:sz w:val="20"/>
        </w:rPr>
        <w:t>15</w:t>
      </w:r>
      <w:r w:rsidRPr="00343F1B">
        <w:rPr>
          <w:rFonts w:ascii="cmr10" w:hAnsi="cmr10"/>
          <w:noProof/>
          <w:sz w:val="20"/>
        </w:rPr>
        <w:t xml:space="preserve">, 347–348.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17 </w:t>
      </w:r>
      <w:r w:rsidRPr="00343F1B">
        <w:rPr>
          <w:rFonts w:ascii="cmr10" w:hAnsi="cmr10"/>
          <w:noProof/>
          <w:sz w:val="20"/>
        </w:rPr>
        <w:tab/>
        <w:t xml:space="preserve">Kibota, T. T. &amp; Lynch, M. 1996 Estimate of the genomic mutation rate deleterious to overall fitness in E. coli.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381</w:t>
      </w:r>
      <w:r w:rsidRPr="00343F1B">
        <w:rPr>
          <w:rFonts w:ascii="cmr10" w:hAnsi="cmr10"/>
          <w:noProof/>
          <w:sz w:val="20"/>
        </w:rPr>
        <w:t>, 694–6. (doi:10.1038/381694a0)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18 </w:t>
      </w:r>
      <w:r w:rsidRPr="00343F1B">
        <w:rPr>
          <w:rFonts w:ascii="cmr10" w:hAnsi="cmr10"/>
          <w:noProof/>
          <w:sz w:val="20"/>
        </w:rPr>
        <w:tab/>
        <w:t xml:space="preserve">Gordo, I., Perfeito, L. &amp; Sousa, A. 2011 Fitness effects of mutations in bacteria. </w:t>
      </w:r>
      <w:r w:rsidRPr="00343F1B">
        <w:rPr>
          <w:rFonts w:ascii="cmr10" w:hAnsi="cmr10"/>
          <w:i/>
          <w:iCs/>
          <w:noProof/>
          <w:sz w:val="20"/>
        </w:rPr>
        <w:t>Journal of molecular microbiology and biotechnology</w:t>
      </w:r>
      <w:r w:rsidRPr="00343F1B">
        <w:rPr>
          <w:rFonts w:ascii="cmr10" w:hAnsi="cmr10"/>
          <w:noProof/>
          <w:sz w:val="20"/>
        </w:rPr>
        <w:t xml:space="preserve"> </w:t>
      </w:r>
      <w:r w:rsidRPr="00343F1B">
        <w:rPr>
          <w:rFonts w:ascii="cmr10" w:hAnsi="cmr10"/>
          <w:b/>
          <w:bCs/>
          <w:noProof/>
          <w:sz w:val="20"/>
        </w:rPr>
        <w:t>21</w:t>
      </w:r>
      <w:r w:rsidRPr="00343F1B">
        <w:rPr>
          <w:rFonts w:ascii="cmr10" w:hAnsi="cmr10"/>
          <w:noProof/>
          <w:sz w:val="20"/>
        </w:rPr>
        <w:t>, 20–35. (doi:10.1159/000332747)</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19 </w:t>
      </w:r>
      <w:r w:rsidRPr="00343F1B">
        <w:rPr>
          <w:rFonts w:ascii="cmr10" w:hAnsi="cmr10"/>
          <w:noProof/>
          <w:sz w:val="20"/>
        </w:rPr>
        <w:tab/>
        <w:t xml:space="preserve">Drake, J. W., Charlesworth, B., Charlesworth, D. &amp; Crow, J. F. 1998 Rates of spontaneous mutation.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148</w:t>
      </w:r>
      <w:r w:rsidRPr="00343F1B">
        <w:rPr>
          <w:rFonts w:ascii="cmr10" w:hAnsi="cmr10"/>
          <w:noProof/>
          <w:sz w:val="20"/>
        </w:rPr>
        <w:t xml:space="preserve">, 1667–86.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20 </w:t>
      </w:r>
      <w:r w:rsidRPr="00343F1B">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343F1B">
        <w:rPr>
          <w:rFonts w:ascii="cmr10" w:hAnsi="cmr10"/>
          <w:i/>
          <w:iCs/>
          <w:noProof/>
          <w:sz w:val="20"/>
        </w:rPr>
        <w:t>G3: Genes, Genomes, Genetics</w:t>
      </w:r>
      <w:r w:rsidRPr="00343F1B">
        <w:rPr>
          <w:rFonts w:ascii="cmr10" w:hAnsi="cmr10"/>
          <w:noProof/>
          <w:sz w:val="20"/>
        </w:rPr>
        <w:t xml:space="preserve"> </w:t>
      </w:r>
      <w:r w:rsidRPr="00343F1B">
        <w:rPr>
          <w:rFonts w:ascii="cmr10" w:hAnsi="cmr10"/>
          <w:b/>
          <w:bCs/>
          <w:noProof/>
          <w:sz w:val="20"/>
        </w:rPr>
        <w:t>1</w:t>
      </w:r>
      <w:r w:rsidRPr="00343F1B">
        <w:rPr>
          <w:rFonts w:ascii="cmr10" w:hAnsi="cmr10"/>
          <w:noProof/>
          <w:sz w:val="20"/>
        </w:rPr>
        <w:t>, 183. (doi:10.1534/g3.111.000406)</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21 </w:t>
      </w:r>
      <w:r w:rsidRPr="00343F1B">
        <w:rPr>
          <w:rFonts w:ascii="cmr10" w:hAnsi="cmr10"/>
          <w:noProof/>
          <w:sz w:val="20"/>
        </w:rPr>
        <w:tab/>
        <w:t xml:space="preserve">Bjedov, I., Tenaillon, O., Gérard, B., Souza, V., Denamur, E., Radman, M., Taddei, F. &amp; Matic, I. 2003 Stress-induced mutagenesis in bacteria.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300</w:t>
      </w:r>
      <w:r w:rsidRPr="00343F1B">
        <w:rPr>
          <w:rFonts w:ascii="cmr10" w:hAnsi="cmr10"/>
          <w:noProof/>
          <w:sz w:val="20"/>
        </w:rPr>
        <w:t>, 1404–9. (doi:10.1126/science.1082240)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22 </w:t>
      </w:r>
      <w:r w:rsidRPr="00343F1B">
        <w:rPr>
          <w:rFonts w:ascii="cmr10" w:hAnsi="cmr10"/>
          <w:noProof/>
          <w:sz w:val="20"/>
        </w:rPr>
        <w:tab/>
        <w:t xml:space="preserve">Hall, L. M. C. &amp; Henderson-Begg, S. K. 2006 Hypermutable bacteria isolated from humans--a critical analysis. </w:t>
      </w:r>
      <w:r w:rsidRPr="00343F1B">
        <w:rPr>
          <w:rFonts w:ascii="cmr10" w:hAnsi="cmr10"/>
          <w:i/>
          <w:iCs/>
          <w:noProof/>
          <w:sz w:val="20"/>
        </w:rPr>
        <w:t>Microbiology (Reading, England)</w:t>
      </w:r>
      <w:r w:rsidRPr="00343F1B">
        <w:rPr>
          <w:rFonts w:ascii="cmr10" w:hAnsi="cmr10"/>
          <w:noProof/>
          <w:sz w:val="20"/>
        </w:rPr>
        <w:t xml:space="preserve"> </w:t>
      </w:r>
      <w:r w:rsidRPr="00343F1B">
        <w:rPr>
          <w:rFonts w:ascii="cmr10" w:hAnsi="cmr10"/>
          <w:b/>
          <w:bCs/>
          <w:noProof/>
          <w:sz w:val="20"/>
        </w:rPr>
        <w:t>152</w:t>
      </w:r>
      <w:r w:rsidRPr="00343F1B">
        <w:rPr>
          <w:rFonts w:ascii="cmr10" w:hAnsi="cmr10"/>
          <w:noProof/>
          <w:sz w:val="20"/>
        </w:rPr>
        <w:t>, 2505–14. (doi:10.1099/mic.0.29079-0)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23 </w:t>
      </w:r>
      <w:r w:rsidRPr="00343F1B">
        <w:rPr>
          <w:rFonts w:ascii="cmr10" w:hAnsi="cmr10"/>
          <w:noProof/>
          <w:sz w:val="20"/>
        </w:rPr>
        <w:tab/>
        <w:t xml:space="preserve">Eshel, I. 1981 On the survival probability of a slightly advantageous mutant gene with a general distribution of progeny size—a branching process model. </w:t>
      </w:r>
      <w:r w:rsidRPr="00343F1B">
        <w:rPr>
          <w:rFonts w:ascii="cmr10" w:hAnsi="cmr10"/>
          <w:i/>
          <w:iCs/>
          <w:noProof/>
          <w:sz w:val="20"/>
        </w:rPr>
        <w:t>Journal of mathematical biology</w:t>
      </w:r>
      <w:r w:rsidRPr="00343F1B">
        <w:rPr>
          <w:rFonts w:ascii="cmr10" w:hAnsi="cmr10"/>
          <w:noProof/>
          <w:sz w:val="20"/>
        </w:rPr>
        <w:t xml:space="preserve"> </w:t>
      </w:r>
      <w:r w:rsidRPr="00343F1B">
        <w:rPr>
          <w:rFonts w:ascii="cmr10" w:hAnsi="cmr10"/>
          <w:b/>
          <w:bCs/>
          <w:noProof/>
          <w:sz w:val="20"/>
        </w:rPr>
        <w:t>12</w:t>
      </w:r>
      <w:r w:rsidRPr="00343F1B">
        <w:rPr>
          <w:rFonts w:ascii="cmr10" w:hAnsi="cmr10"/>
          <w:noProof/>
          <w:sz w:val="20"/>
        </w:rPr>
        <w:t xml:space="preserve">, 355–362.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24 </w:t>
      </w:r>
      <w:r w:rsidRPr="00343F1B">
        <w:rPr>
          <w:rFonts w:ascii="cmr10" w:hAnsi="cmr10"/>
          <w:noProof/>
          <w:sz w:val="20"/>
        </w:rPr>
        <w:tab/>
        <w:t xml:space="preserve">Taddei, F., Radman, M., Maynard Smith, J., Toupance, B., Gouyon, P.-H. &amp; Godelle, B. 1997 Role of mutator alleles in adaptive evolution.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387</w:t>
      </w:r>
      <w:r w:rsidRPr="00343F1B">
        <w:rPr>
          <w:rFonts w:ascii="cmr10" w:hAnsi="cmr10"/>
          <w:noProof/>
          <w:sz w:val="20"/>
        </w:rPr>
        <w:t xml:space="preserve">, 700–2. (doi:10.1038/42696) </w:t>
      </w:r>
    </w:p>
    <w:p w:rsidR="003277CF" w:rsidRDefault="00127E33" w:rsidP="00343F1B">
      <w:pPr>
        <w:pStyle w:val="NormalWeb"/>
        <w:ind w:left="640" w:hanging="640"/>
        <w:divId w:val="669216854"/>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wildtype individual, </w:t>
      </w:r>
      <w:r>
        <w:rPr>
          <w:i/>
          <w:iCs/>
          <w:lang w:val="en-US"/>
        </w:rPr>
        <w:t>ab</w:t>
      </w:r>
      <w:r>
        <w:rPr>
          <w:lang w:val="en-US"/>
        </w:rPr>
        <w:t xml:space="preserve">, or via a single mutation in a single mutant, </w:t>
      </w:r>
      <w:r>
        <w:rPr>
          <w:i/>
          <w:iCs/>
          <w:lang w:val="en-US"/>
        </w:rPr>
        <w:t>Ab</w:t>
      </w:r>
      <w:r>
        <w:rPr>
          <w:lang w:val="en-US"/>
        </w:rPr>
        <w:t xml:space="preserve"> or </w:t>
      </w:r>
      <w:r>
        <w:rPr>
          <w:i/>
          <w:iCs/>
          <w:lang w:val="en-US"/>
        </w:rPr>
        <w:t xml:space="preserve">aB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wildtype </w:t>
      </w:r>
      <w:r>
        <w:rPr>
          <w:i/>
          <w:iCs/>
          <w:lang w:val="en-US"/>
        </w:rPr>
        <w:t>ab</w:t>
      </w:r>
      <w:r>
        <w:rPr>
          <w:lang w:val="en-US"/>
        </w:rPr>
        <w:t xml:space="preserve"> and single mutants </w:t>
      </w:r>
      <w:r w:rsidRPr="00BB678E">
        <w:rPr>
          <w:i/>
          <w:iCs/>
          <w:lang w:val="en-US"/>
        </w:rPr>
        <w:t>aB</w:t>
      </w:r>
      <w:r>
        <w:rPr>
          <w:lang w:val="en-US"/>
        </w:rPr>
        <w:t xml:space="preserve"> and </w:t>
      </w:r>
      <w:r w:rsidRPr="005F3FF6">
        <w:rPr>
          <w:i/>
          <w:iCs/>
          <w:lang w:val="en-US"/>
        </w:rPr>
        <w:t>Ab</w:t>
      </w:r>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and  </w:t>
      </w:r>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9"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9"/>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0"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0"/>
          </w:p>
        </w:tc>
      </w:tr>
    </w:tbl>
    <w:p w:rsidR="00966283" w:rsidRDefault="00966283" w:rsidP="00966283">
      <w:pPr>
        <w:ind w:firstLine="0"/>
        <w:rPr>
          <w:lang w:val="en-US"/>
        </w:rPr>
      </w:pPr>
      <w:r>
        <w:rPr>
          <w:lang w:val="en-US"/>
        </w:rPr>
        <w:t>Note that stress-induction increases the transition from single mutants to other types, but does not significantly change the MSB frequency of single mutants, because this frequency is mainly determined by the mutation rate of the wildtype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r>
        <w:rPr>
          <w:i/>
          <w:iCs/>
          <w:lang w:val="en-US"/>
        </w:rPr>
        <w:t>sU</w:t>
      </w:r>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1"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1"/>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r>
        <w:rPr>
          <w:i/>
          <w:iCs/>
          <w:lang w:val="en-US"/>
        </w:rPr>
        <w:t>Us</w:t>
      </w:r>
      <w:r>
        <w:rPr>
          <w:lang w:val="en-US"/>
        </w:rPr>
        <w:t xml:space="preserve"> is smaller than </w:t>
      </w:r>
      <w:r>
        <w:rPr>
          <w:i/>
          <w:iCs/>
          <w:lang w:val="en-US"/>
        </w:rPr>
        <w:t>U</w:t>
      </w:r>
      <w:r>
        <w:rPr>
          <w:lang w:val="en-US"/>
        </w:rPr>
        <w:t xml:space="preserve"> and that </w:t>
      </w:r>
      <w:r>
        <w:rPr>
          <w:rFonts w:ascii="Times New Roman" w:hAnsi="Times New Roman"/>
          <w:i/>
          <w:iCs/>
          <w:lang w:val="en-US"/>
        </w:rPr>
        <w:t>τ</w:t>
      </w:r>
      <w:r>
        <w:rPr>
          <w:i/>
          <w:iCs/>
          <w:lang w:val="en-US"/>
        </w:rPr>
        <w:t>U</w:t>
      </w:r>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421489"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2"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2"/>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r>
        <w:rPr>
          <w:lang w:val="en-US"/>
        </w:rPr>
        <w:t>because</w:t>
      </w:r>
      <w:r w:rsidRPr="00BA00E0">
        <w:rPr>
          <w:lang w:val="en-US"/>
        </w:rPr>
        <w:t xml:space="preserve"> </w:t>
      </w:r>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3" w:name="_Ref354319797"/>
      <w:r>
        <w:rPr>
          <w:lang w:val="en-US"/>
        </w:rPr>
        <w:t>Fixation probability with stress-induced mutation</w:t>
      </w:r>
      <w:bookmarkEnd w:id="13"/>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Eshel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4"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where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5"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5"/>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6"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6"/>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17"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17"/>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of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is </w:t>
      </w:r>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r>
        <w:rPr>
          <w:lang w:val="en-US"/>
        </w:rPr>
        <w:t xml:space="preserve">Pluging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r>
              <w:rPr>
                <w:rFonts w:ascii="Cambria Math" w:hAnsi="Cambria Math"/>
                <w:lang w:val="en-US"/>
              </w:rPr>
              <m:t>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r>
        <w:rPr>
          <w:lang w:val="en-US"/>
        </w:rPr>
        <w:t>Pluging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18"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18"/>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19"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19"/>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 </w:t>
      </w:r>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r w:rsidRPr="001752B4">
        <w:rPr>
          <w:i/>
          <w:iCs/>
          <w:lang w:val="en-US"/>
        </w:rPr>
        <w:t>Nq</w:t>
      </w:r>
      <w:r>
        <w:rPr>
          <w:lang w:val="en-US"/>
        </w:rPr>
        <w:t xml:space="preserve"> is very small and therefore this probability can be approximated by </w:t>
      </w:r>
      <w:r>
        <w:rPr>
          <w:i/>
          <w:iCs/>
          <w:lang w:val="en-US"/>
        </w:rPr>
        <w:t>Nq</w:t>
      </w:r>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which will go to fixation </w:t>
      </w:r>
      <w:r>
        <w:rPr>
          <w:i/>
          <w:iCs/>
          <w:lang w:val="en-US"/>
        </w:rPr>
        <w:t>T</w:t>
      </w:r>
      <w:r>
        <w:rPr>
          <w:i/>
          <w:iCs/>
          <w:vertAlign w:val="subscript"/>
          <w:lang w:val="en-US"/>
        </w:rPr>
        <w:t>w</w:t>
      </w:r>
      <w:r>
        <w:rPr>
          <w:lang w:val="en-US"/>
        </w:rPr>
        <w:t xml:space="preserve">. This is true as long as fixation is  much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r w:rsidRPr="00D516F5">
        <w:rPr>
          <w:i/>
          <w:iCs/>
          <w:lang w:val="en-US"/>
        </w:rPr>
        <w:t>Nq</w:t>
      </w:r>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0"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0"/>
          </w:p>
        </w:tc>
      </w:tr>
    </w:tbl>
    <w:p w:rsidR="0042273F" w:rsidRDefault="0042273F" w:rsidP="0042273F">
      <w:pPr>
        <w:ind w:firstLine="0"/>
        <w:rPr>
          <w:lang w:val="en-US"/>
        </w:rPr>
      </w:pPr>
      <w:r>
        <w:rPr>
          <w:lang w:val="en-US"/>
        </w:rPr>
        <w:t xml:space="preserve">Without stress-induced mutation, we plug in Eqs.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and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1"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1"/>
          </w:p>
        </w:tc>
      </w:tr>
    </w:tbl>
    <w:p w:rsidR="0042273F" w:rsidRDefault="0042273F" w:rsidP="0042273F">
      <w:pPr>
        <w:ind w:firstLine="0"/>
        <w:rPr>
          <w:lang w:val="en-US"/>
        </w:rPr>
      </w:pPr>
      <w:r>
        <w:rPr>
          <w:lang w:val="en-US"/>
        </w:rPr>
        <w:t xml:space="preserve">With stress-induced mutation we plug in Eqs.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and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2"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2"/>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This condition can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apprxomated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202A" w:rsidRDefault="00DF202A">
      <w:pPr>
        <w:spacing w:line="240" w:lineRule="auto"/>
      </w:pPr>
      <w:r>
        <w:separator/>
      </w:r>
    </w:p>
  </w:endnote>
  <w:endnote w:type="continuationSeparator" w:id="0">
    <w:p w:rsidR="00DF202A" w:rsidRDefault="00DF20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EBC53394-0BF0-468D-96FD-E34EE524A2DC}"/>
  </w:font>
  <w:font w:name="Times New Roman">
    <w:panose1 w:val="02020603050405020304"/>
    <w:charset w:val="00"/>
    <w:family w:val="roman"/>
    <w:pitch w:val="variable"/>
    <w:sig w:usb0="E0002AFF" w:usb1="C0007841" w:usb2="00000009" w:usb3="00000000" w:csb0="000001FF" w:csb1="00000000"/>
    <w:embedRegular r:id="rId2" w:fontKey="{823E1ED6-4124-4D6E-9C00-AA67B9499B9F}"/>
    <w:embedBold r:id="rId3" w:fontKey="{9E2EB3AD-AE25-4D89-B903-2A3925E5222E}"/>
    <w:embedItalic r:id="rId4" w:fontKey="{D5E35E3D-9DAE-4EE9-BB46-D9046C182244}"/>
  </w:font>
  <w:font w:name="cmr10">
    <w:panose1 w:val="020B0500000000000000"/>
    <w:charset w:val="00"/>
    <w:family w:val="swiss"/>
    <w:pitch w:val="variable"/>
    <w:sig w:usb0="00000003" w:usb1="00000000" w:usb2="00000000" w:usb3="00000000" w:csb0="00000001" w:csb1="00000000"/>
    <w:embedRegular r:id="rId5" w:fontKey="{7C196781-0923-4BB7-A964-F9E9D99D6E26}"/>
    <w:embedBold r:id="rId6" w:fontKey="{39F233DB-2FE4-424A-B2FC-5732DE642FE3}"/>
    <w:embedItalic r:id="rId7" w:fontKey="{9635BFA6-06CD-438C-A18F-53CB619B8BBB}"/>
  </w:font>
  <w:font w:name="cmbx12">
    <w:panose1 w:val="020B0500000000000000"/>
    <w:charset w:val="00"/>
    <w:family w:val="swiss"/>
    <w:pitch w:val="variable"/>
    <w:sig w:usb0="00000003" w:usb1="00000000" w:usb2="00000000" w:usb3="00000000" w:csb0="00000001" w:csb1="00000000"/>
    <w:embedRegular r:id="rId8" w:fontKey="{EFDA5C06-23B3-4723-8F29-7F2F6951F986}"/>
  </w:font>
  <w:font w:name="Arial">
    <w:panose1 w:val="020B0604020202020204"/>
    <w:charset w:val="00"/>
    <w:family w:val="swiss"/>
    <w:pitch w:val="variable"/>
    <w:sig w:usb0="E0002AFF" w:usb1="C0007843" w:usb2="00000009" w:usb3="00000000" w:csb0="000001FF" w:csb1="00000000"/>
    <w:embedRegular r:id="rId9" w:fontKey="{376447C5-6A33-4E81-93CC-7CB833BA9603}"/>
    <w:embedBold r:id="rId10" w:fontKey="{B8DAA02A-4120-4DE7-972A-CECFF7759A20}"/>
    <w:embedItalic r:id="rId11" w:fontKey="{1656DF7D-6CFD-44DF-BEC3-A699BDC055FB}"/>
    <w:embedBoldItalic r:id="rId12" w:fontKey="{2A7D27E7-3C24-4420-973F-F44800F686C8}"/>
  </w:font>
  <w:font w:name="cmbx10">
    <w:altName w:val="Vrinda"/>
    <w:charset w:val="00"/>
    <w:family w:val="swiss"/>
    <w:pitch w:val="variable"/>
    <w:sig w:usb0="00000003" w:usb1="00000000" w:usb2="00000000" w:usb3="00000000" w:csb0="00000001" w:csb1="00000000"/>
    <w:embedRegular r:id="rId13" w:fontKey="{6BA4CC6E-3EC3-4A1F-9E3F-DAD35EF6A179}"/>
  </w:font>
  <w:font w:name="Cambria">
    <w:panose1 w:val="02040503050406030204"/>
    <w:charset w:val="00"/>
    <w:family w:val="roman"/>
    <w:pitch w:val="variable"/>
    <w:sig w:usb0="E00002FF" w:usb1="400004FF" w:usb2="00000000" w:usb3="00000000" w:csb0="0000019F" w:csb1="00000000"/>
    <w:embedRegular r:id="rId14" w:fontKey="{CA3A6808-38C5-4275-896D-A4E361E9C42C}"/>
    <w:embedBold r:id="rId15" w:fontKey="{5374D4D9-AC9E-4F1B-B7A8-F0DEB6EB393B}"/>
  </w:font>
  <w:font w:name="cmti7">
    <w:altName w:val="Vrinda"/>
    <w:panose1 w:val="020B0500000000000000"/>
    <w:charset w:val="00"/>
    <w:family w:val="swiss"/>
    <w:pitch w:val="variable"/>
    <w:sig w:usb0="00000003" w:usb1="00000000" w:usb2="00000000" w:usb3="00000000" w:csb0="00000001" w:csb1="00000000"/>
    <w:embedBold r:id="rId16" w:fontKey="{634DD6B8-1A7F-43CA-9290-7B871DC97C47}"/>
  </w:font>
  <w:font w:name="Tahoma">
    <w:panose1 w:val="020B0604030504040204"/>
    <w:charset w:val="00"/>
    <w:family w:val="swiss"/>
    <w:pitch w:val="variable"/>
    <w:sig w:usb0="E1002EFF" w:usb1="C000605B" w:usb2="00000029" w:usb3="00000000" w:csb0="000101FF" w:csb1="00000000"/>
    <w:embedRegular r:id="rId17" w:fontKey="{BA47C67B-817B-46BD-87A3-72377DA71E26}"/>
  </w:font>
  <w:font w:name="Consolas">
    <w:panose1 w:val="020B0609020204030204"/>
    <w:charset w:val="00"/>
    <w:family w:val="modern"/>
    <w:pitch w:val="fixed"/>
    <w:sig w:usb0="E10002FF" w:usb1="4000FCFF" w:usb2="00000009" w:usb3="00000000" w:csb0="0000019F" w:csb1="00000000"/>
    <w:embedRegular r:id="rId18" w:fontKey="{B8EF216F-DD17-40D4-9289-7DA67CC70332}"/>
  </w:font>
  <w:font w:name="Calibri">
    <w:panose1 w:val="020F0502020204030204"/>
    <w:charset w:val="00"/>
    <w:family w:val="swiss"/>
    <w:pitch w:val="variable"/>
    <w:sig w:usb0="E00002FF" w:usb1="4000ACFF" w:usb2="00000001" w:usb3="00000000" w:csb0="0000019F" w:csb1="00000000"/>
    <w:embedRegular r:id="rId19" w:fontKey="{AC13AF08-F4EE-4350-8AA6-F45DDEB50398}"/>
  </w:font>
  <w:font w:name="cmr17">
    <w:panose1 w:val="020B0500000000000000"/>
    <w:charset w:val="00"/>
    <w:family w:val="swiss"/>
    <w:pitch w:val="variable"/>
    <w:sig w:usb0="00000003" w:usb1="00000000" w:usb2="00000000" w:usb3="00000000" w:csb0="00000001" w:csb1="00000000"/>
    <w:embedRegular r:id="rId20" w:fontKey="{EB7B23E3-8D12-419F-88BF-B65875557E44}"/>
    <w:embedBold r:id="rId21" w:fontKey="{E2E1735F-9402-43D2-982D-314F28F9A631}"/>
  </w:font>
  <w:font w:name="Cambria Math">
    <w:panose1 w:val="02040503050406030204"/>
    <w:charset w:val="00"/>
    <w:family w:val="roman"/>
    <w:pitch w:val="variable"/>
    <w:sig w:usb0="E00002FF" w:usb1="420024FF" w:usb2="00000000" w:usb3="00000000" w:csb0="0000019F" w:csb1="00000000"/>
    <w:embedItalic r:id="rId22" w:fontKey="{AFA4F1A9-F8B1-431D-9F3D-EBAB2626C06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4DFB">
      <w:rPr>
        <w:rStyle w:val="PageNumber"/>
        <w:noProof/>
      </w:rPr>
      <w:t>13</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202A" w:rsidRDefault="00DF202A">
      <w:pPr>
        <w:spacing w:line="240" w:lineRule="auto"/>
      </w:pPr>
      <w:r>
        <w:separator/>
      </w:r>
    </w:p>
  </w:footnote>
  <w:footnote w:type="continuationSeparator" w:id="0">
    <w:p w:rsidR="00DF202A" w:rsidRDefault="00DF202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D3103"/>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5121"/>
    <w:rsid w:val="00D42AA6"/>
    <w:rsid w:val="00D516F5"/>
    <w:rsid w:val="00D56B7E"/>
    <w:rsid w:val="00D6008A"/>
    <w:rsid w:val="00D65806"/>
    <w:rsid w:val="00D65E6B"/>
    <w:rsid w:val="00DA66F3"/>
    <w:rsid w:val="00DB22F4"/>
    <w:rsid w:val="00DD0381"/>
    <w:rsid w:val="00DD0F4F"/>
    <w:rsid w:val="00DD43F9"/>
    <w:rsid w:val="00DE5B65"/>
    <w:rsid w:val="00DF202A"/>
    <w:rsid w:val="00E025C0"/>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40888-4B69-444C-8FC3-BB64BE1AB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TotalTime>
  <Pages>15</Pages>
  <Words>14447</Words>
  <Characters>72236</Characters>
  <Application>Microsoft Office Word</Application>
  <DocSecurity>0</DocSecurity>
  <Lines>601</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3</cp:revision>
  <cp:lastPrinted>2013-04-23T11:40:00Z</cp:lastPrinted>
  <dcterms:created xsi:type="dcterms:W3CDTF">2013-06-11T13:34:00Z</dcterms:created>
  <dcterms:modified xsi:type="dcterms:W3CDTF">2013-06-11T13:38:00Z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